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A762" w14:textId="39E15688" w:rsidR="00DD2475" w:rsidRDefault="00E4331A" w:rsidP="00DD2475">
      <w:pPr>
        <w:spacing w:line="276" w:lineRule="auto"/>
        <w:contextualSpacing/>
        <w:jc w:val="center"/>
        <w:rPr>
          <w:rFonts w:ascii="Traditional Arabic" w:hAnsi="Traditional Arabic" w:cs="PT Bold Heading"/>
          <w:sz w:val="32"/>
          <w:szCs w:val="32"/>
          <w:rtl/>
        </w:rPr>
      </w:pPr>
      <w:r w:rsidRPr="00E4331A">
        <w:rPr>
          <w:rFonts w:ascii="Traditional Arabic" w:hAnsi="Traditional Arabic" w:cs="PT Bold Heading"/>
          <w:sz w:val="32"/>
          <w:szCs w:val="32"/>
          <w:rtl/>
        </w:rPr>
        <w:t>سياسة تحديد وفهم مخاطر جرائم الإرهاب وتمويله</w:t>
      </w:r>
    </w:p>
    <w:p w14:paraId="14C1701B" w14:textId="77777777" w:rsidR="00E4331A" w:rsidRPr="00DD2475" w:rsidRDefault="00E4331A" w:rsidP="00DD2475">
      <w:pPr>
        <w:spacing w:line="276" w:lineRule="auto"/>
        <w:contextualSpacing/>
        <w:jc w:val="center"/>
        <w:rPr>
          <w:rFonts w:ascii="Traditional Arabic" w:hAnsi="Traditional Arabic" w:cs="Traditional Arabic"/>
          <w:b/>
          <w:bCs/>
          <w:sz w:val="32"/>
          <w:szCs w:val="32"/>
          <w:rtl/>
        </w:rPr>
      </w:pPr>
    </w:p>
    <w:p w14:paraId="5F83412C" w14:textId="77777777" w:rsidR="00DD2475" w:rsidRPr="00DD2475" w:rsidRDefault="00DD2475" w:rsidP="00DD2475">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2156D9BD" wp14:editId="1BEBDBD0">
                <wp:extent cx="6120000" cy="305761"/>
                <wp:effectExtent l="0" t="0" r="14605" b="18415"/>
                <wp:docPr id="6" name="مستطيل 6"/>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F08F" w14:textId="77777777" w:rsidR="00DD2475" w:rsidRPr="00722DCD" w:rsidRDefault="00DD2475" w:rsidP="00DD2475">
                            <w:pPr>
                              <w:spacing w:line="192" w:lineRule="auto"/>
                              <w:contextualSpacing/>
                              <w:jc w:val="center"/>
                              <w:rPr>
                                <w:rFonts w:cs="AL-Mohanad Bold"/>
                                <w:color w:val="C00000"/>
                                <w:sz w:val="28"/>
                                <w:szCs w:val="28"/>
                              </w:rPr>
                            </w:pPr>
                            <w:r w:rsidRPr="00722DCD">
                              <w:rPr>
                                <w:rFonts w:cs="AL-Mohanad Bold" w:hint="cs"/>
                                <w:color w:val="C00000"/>
                                <w:sz w:val="28"/>
                                <w:szCs w:val="28"/>
                                <w:rtl/>
                              </w:rPr>
                              <w:t>اعتماد السياسة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156D9BD" id="مستطيل 6" o:spid="_x0000_s1026"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" filled="f" strokecolor="#c00000" strokeweight=".5pt">
                <v:textbox>
                  <w:txbxContent>
                    <w:p w14:paraId="51AAF08F" w14:textId="77777777" w:rsidR="00DD2475" w:rsidRPr="00722DCD" w:rsidRDefault="00DD2475" w:rsidP="00DD2475">
                      <w:pPr>
                        <w:spacing w:line="192" w:lineRule="auto"/>
                        <w:contextualSpacing/>
                        <w:jc w:val="center"/>
                        <w:rPr>
                          <w:rFonts w:cs="AL-Mohanad Bold"/>
                          <w:color w:val="C00000"/>
                          <w:sz w:val="28"/>
                          <w:szCs w:val="28"/>
                        </w:rPr>
                      </w:pPr>
                      <w:r w:rsidRPr="00722DCD">
                        <w:rPr>
                          <w:rFonts w:cs="AL-Mohanad Bold" w:hint="cs"/>
                          <w:color w:val="C00000"/>
                          <w:sz w:val="28"/>
                          <w:szCs w:val="28"/>
                          <w:rtl/>
                        </w:rPr>
                        <w:t>اعتماد السياسة</w:t>
                      </w:r>
                    </w:p>
                  </w:txbxContent>
                </v:textbox>
                <w10:anchorlock/>
              </v:rect>
            </w:pict>
          </mc:Fallback>
        </mc:AlternateContent>
      </w:r>
    </w:p>
    <w:p w14:paraId="40F8872E" w14:textId="77777777" w:rsidR="00B70C0E" w:rsidRPr="00B70C0E" w:rsidRDefault="00B70C0E" w:rsidP="00B70C0E">
      <w:pPr>
        <w:spacing w:line="276" w:lineRule="auto"/>
        <w:ind w:left="-25"/>
        <w:rPr>
          <w:rFonts w:cs="AL-Mohanad Bold"/>
          <w:sz w:val="32"/>
          <w:szCs w:val="32"/>
          <w:rtl/>
        </w:rPr>
      </w:pPr>
      <w:r w:rsidRPr="00B70C0E">
        <w:rPr>
          <w:rFonts w:cs="AL-Mohanad Bold"/>
          <w:sz w:val="32"/>
          <w:szCs w:val="32"/>
          <w:rtl/>
        </w:rPr>
        <w:t xml:space="preserve">تم اعتماد (سياسة تحديد وفهم مخاطر جرائم الإرهاب وتمويله) من قِبَل رئيس مجلس الإدارة والمدير التنفيذي للجمعية، ووفقًا للشروط والآليات المذكورة فـي بنود السياسة. </w:t>
      </w:r>
    </w:p>
    <w:p w14:paraId="755E80C5" w14:textId="1966CAAD" w:rsidR="00DD2475" w:rsidRPr="00DD2475" w:rsidRDefault="00B70C0E" w:rsidP="00B70C0E">
      <w:pPr>
        <w:spacing w:line="276" w:lineRule="auto"/>
        <w:ind w:left="-25"/>
        <w:jc w:val="lowKashida"/>
        <w:rPr>
          <w:rFonts w:cs="AL-Mohanad Bold"/>
          <w:sz w:val="32"/>
          <w:szCs w:val="32"/>
          <w:rtl/>
        </w:rPr>
      </w:pPr>
      <w:r w:rsidRPr="00B70C0E">
        <w:rPr>
          <w:rFonts w:cs="AL-Mohanad Bold"/>
          <w:sz w:val="32"/>
          <w:szCs w:val="32"/>
          <w:rtl/>
        </w:rPr>
        <w:t>وتعد سياسة (تحديد وفهم مخاطر جرائم الإرهاب وتمويله) من الركائز الأساسية التي اتخذتها الجمعية فـي مجال الرقابة المالية، وفقًا (لنظام مكافحة غسل الأموال) فـي المملكة العربية السعودية، الصادر بالمرسوم الملكي رقم (م/20) بتاريخ 5/2/1439هـ، ولائحته التنفيذية، وكذلك وفقًا لنظام (مكافحة جرائم الإرهاب وتمويله) السعودي، الصادر بالمرسوم الملكي رقم (م/21) وتاريخ 12/2/1439هـ، ولائحته التنفيذية</w:t>
      </w:r>
      <w:proofErr w:type="gramStart"/>
      <w:r w:rsidRPr="00B70C0E">
        <w:rPr>
          <w:rFonts w:cs="AL-Mohanad Bold"/>
          <w:sz w:val="32"/>
          <w:szCs w:val="32"/>
          <w:rtl/>
        </w:rPr>
        <w:t>، ،</w:t>
      </w:r>
      <w:proofErr w:type="gramEnd"/>
      <w:r w:rsidRPr="00B70C0E">
        <w:rPr>
          <w:rFonts w:cs="AL-Mohanad Bold"/>
          <w:sz w:val="32"/>
          <w:szCs w:val="32"/>
          <w:rtl/>
        </w:rPr>
        <w:t xml:space="preserve"> وجميع التعديلات اللاحقة؛ لتتوافق مع هذه السياسة.</w:t>
      </w:r>
    </w:p>
    <w:p w14:paraId="457EFE33" w14:textId="77777777" w:rsidR="00DD2475" w:rsidRPr="00DD2475" w:rsidRDefault="00DD2475" w:rsidP="00DD2475">
      <w:pPr>
        <w:spacing w:line="276" w:lineRule="auto"/>
        <w:ind w:left="-25"/>
        <w:jc w:val="lowKashida"/>
        <w:rPr>
          <w:rFonts w:cs="AL-Mohanad Bold"/>
          <w:sz w:val="32"/>
          <w:szCs w:val="32"/>
          <w:rtl/>
        </w:rPr>
      </w:pPr>
    </w:p>
    <w:p w14:paraId="33EAD573" w14:textId="77777777" w:rsidR="00DD2475" w:rsidRPr="00DD2475" w:rsidRDefault="00DD2475" w:rsidP="00DD2475">
      <w:pPr>
        <w:spacing w:line="276" w:lineRule="auto"/>
        <w:ind w:left="-25"/>
        <w:jc w:val="lowKashida"/>
        <w:rPr>
          <w:rFonts w:cs="AL-Mohanad Bold"/>
          <w:sz w:val="32"/>
          <w:szCs w:val="32"/>
          <w:rtl/>
        </w:rPr>
      </w:pPr>
    </w:p>
    <w:p w14:paraId="530B7E55" w14:textId="77777777" w:rsidR="00DD2475" w:rsidRPr="00DD2475" w:rsidRDefault="00DD2475" w:rsidP="00DD2475">
      <w:pPr>
        <w:spacing w:line="276" w:lineRule="auto"/>
        <w:ind w:left="-25"/>
        <w:jc w:val="lowKashida"/>
        <w:rPr>
          <w:rFonts w:cs="AL-Mohanad Bold"/>
          <w:sz w:val="32"/>
          <w:szCs w:val="32"/>
          <w:rtl/>
        </w:rPr>
      </w:pPr>
    </w:p>
    <w:tbl>
      <w:tblPr>
        <w:tblStyle w:val="ac"/>
        <w:bidiVisual/>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34"/>
        <w:gridCol w:w="3234"/>
        <w:gridCol w:w="3234"/>
      </w:tblGrid>
      <w:tr w:rsidR="00DD2475" w:rsidRPr="00DD2475" w14:paraId="1407B77A" w14:textId="77777777" w:rsidTr="005D420A">
        <w:trPr>
          <w:jc w:val="center"/>
        </w:trPr>
        <w:tc>
          <w:tcPr>
            <w:tcW w:w="3234" w:type="dxa"/>
            <w:shd w:val="clear" w:color="auto" w:fill="auto"/>
          </w:tcPr>
          <w:p w14:paraId="7AFA6FBF" w14:textId="77777777" w:rsidR="00DD2475" w:rsidRPr="00DD2475" w:rsidRDefault="00DD2475" w:rsidP="00DD2475">
            <w:pPr>
              <w:spacing w:line="276" w:lineRule="auto"/>
              <w:jc w:val="center"/>
              <w:rPr>
                <w:rFonts w:ascii="Frutiger LT Arabic 45 Light" w:hAnsi="Frutiger LT Arabic 45 Light" w:cs="AL-Mohanad Bold"/>
                <w:noProof/>
                <w:sz w:val="32"/>
                <w:szCs w:val="32"/>
                <w:rtl/>
              </w:rPr>
            </w:pPr>
            <w:r w:rsidRPr="00DD2475">
              <w:rPr>
                <w:rFonts w:cs="AL-Mohanad Bold" w:hint="cs"/>
                <w:sz w:val="32"/>
                <w:szCs w:val="32"/>
                <w:rtl/>
              </w:rPr>
              <w:t>المدير التنفيذي</w:t>
            </w:r>
          </w:p>
          <w:p w14:paraId="749DEFAA" w14:textId="77777777" w:rsidR="00DD2475" w:rsidRPr="00DD2475" w:rsidRDefault="00DD2475" w:rsidP="00DD2475">
            <w:pPr>
              <w:spacing w:line="276" w:lineRule="auto"/>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صالح بن مقحم العتيبي</w:t>
            </w:r>
          </w:p>
        </w:tc>
        <w:tc>
          <w:tcPr>
            <w:tcW w:w="3234" w:type="dxa"/>
            <w:shd w:val="clear" w:color="auto" w:fill="auto"/>
          </w:tcPr>
          <w:p w14:paraId="6A004192" w14:textId="77777777" w:rsidR="00DD2475" w:rsidRPr="00DD2475" w:rsidRDefault="00DD2475" w:rsidP="00DD2475">
            <w:pPr>
              <w:spacing w:line="276" w:lineRule="auto"/>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الختم</w:t>
            </w:r>
          </w:p>
        </w:tc>
        <w:tc>
          <w:tcPr>
            <w:tcW w:w="3234" w:type="dxa"/>
          </w:tcPr>
          <w:p w14:paraId="26E05EC6" w14:textId="77777777" w:rsidR="00DD2475" w:rsidRPr="00DD2475" w:rsidRDefault="00DD2475" w:rsidP="00DD2475">
            <w:pPr>
              <w:spacing w:line="276" w:lineRule="auto"/>
              <w:contextualSpacing/>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رئيس مجس الإدارة</w:t>
            </w:r>
          </w:p>
          <w:p w14:paraId="08A09884" w14:textId="77777777" w:rsidR="00DD2475" w:rsidRPr="00DD2475" w:rsidRDefault="00DD2475" w:rsidP="00DD2475">
            <w:pPr>
              <w:spacing w:line="276" w:lineRule="auto"/>
              <w:contextualSpacing/>
              <w:jc w:val="center"/>
              <w:rPr>
                <w:rFonts w:cs="AL-Mohanad Bold"/>
                <w:sz w:val="32"/>
                <w:szCs w:val="32"/>
                <w:rtl/>
              </w:rPr>
            </w:pPr>
            <w:r w:rsidRPr="00DD2475">
              <w:rPr>
                <w:rFonts w:ascii="Frutiger LT Arabic 45 Light" w:hAnsi="Frutiger LT Arabic 45 Light" w:cs="AL-Mohanad Bold" w:hint="cs"/>
                <w:noProof/>
                <w:sz w:val="32"/>
                <w:szCs w:val="32"/>
                <w:rtl/>
              </w:rPr>
              <w:t>إبراهيم بن عبد الله الشايع</w:t>
            </w:r>
          </w:p>
        </w:tc>
      </w:tr>
    </w:tbl>
    <w:p w14:paraId="07168DA7" w14:textId="77777777" w:rsidR="00DD2475" w:rsidRPr="00DD2475" w:rsidRDefault="00DD2475" w:rsidP="00DD2475">
      <w:pPr>
        <w:spacing w:line="276" w:lineRule="auto"/>
        <w:ind w:left="-25"/>
        <w:jc w:val="lowKashida"/>
        <w:rPr>
          <w:rFonts w:cs="AL-Mohanad Bold"/>
          <w:sz w:val="32"/>
          <w:szCs w:val="32"/>
          <w:rtl/>
        </w:rPr>
      </w:pPr>
    </w:p>
    <w:p w14:paraId="0744FA57" w14:textId="77777777" w:rsidR="00DD2475" w:rsidRPr="00DD2475" w:rsidRDefault="00DD2475" w:rsidP="00DD2475">
      <w:pPr>
        <w:spacing w:line="276" w:lineRule="auto"/>
        <w:ind w:left="-25"/>
        <w:jc w:val="lowKashida"/>
        <w:rPr>
          <w:rFonts w:cs="AL-Mohanad Bold"/>
          <w:sz w:val="32"/>
          <w:szCs w:val="32"/>
          <w:rtl/>
        </w:rPr>
      </w:pPr>
    </w:p>
    <w:p w14:paraId="7C4497B2" w14:textId="77777777" w:rsidR="00DD2475" w:rsidRPr="00DD2475" w:rsidRDefault="00DD2475" w:rsidP="00DD2475">
      <w:pPr>
        <w:spacing w:line="276" w:lineRule="auto"/>
        <w:ind w:left="-25"/>
        <w:jc w:val="lowKashida"/>
        <w:rPr>
          <w:rFonts w:cs="AL-Mohanad Bold"/>
          <w:sz w:val="32"/>
          <w:szCs w:val="32"/>
          <w:rtl/>
        </w:rPr>
      </w:pPr>
    </w:p>
    <w:p w14:paraId="6E7C7B6D" w14:textId="368ADCAC" w:rsidR="00DD2475" w:rsidRPr="00DD2475" w:rsidRDefault="00DD2475" w:rsidP="00DD2475">
      <w:pPr>
        <w:spacing w:line="276" w:lineRule="auto"/>
        <w:rPr>
          <w:rFonts w:cs="AL-Mohanad Bold"/>
          <w:sz w:val="32"/>
          <w:szCs w:val="32"/>
          <w:rtl/>
        </w:rPr>
      </w:pPr>
      <w:r w:rsidRPr="00DD2475">
        <w:rPr>
          <w:rFonts w:cs="AL-Mohanad Bold"/>
          <w:sz w:val="32"/>
          <w:szCs w:val="32"/>
          <w:rtl/>
        </w:rPr>
        <w:br w:type="page"/>
      </w:r>
    </w:p>
    <w:p w14:paraId="45C00AAF" w14:textId="77777777" w:rsidR="00B70C0E" w:rsidRPr="00B70C0E" w:rsidRDefault="00B70C0E" w:rsidP="00B70C0E">
      <w:pPr>
        <w:ind w:left="-25"/>
        <w:jc w:val="lowKashida"/>
        <w:rPr>
          <w:rFonts w:cs="AL-Mohanad Bold"/>
          <w:sz w:val="32"/>
          <w:szCs w:val="32"/>
          <w:rtl/>
        </w:rPr>
      </w:pPr>
    </w:p>
    <w:p w14:paraId="7366C5E5" w14:textId="77777777" w:rsidR="00B70C0E" w:rsidRPr="00B70C0E" w:rsidRDefault="00B70C0E" w:rsidP="00B70C0E">
      <w:pPr>
        <w:contextualSpacing/>
        <w:jc w:val="center"/>
        <w:rPr>
          <w:rFonts w:cs="AL-Mohanad Bold"/>
          <w:sz w:val="32"/>
          <w:szCs w:val="32"/>
          <w:rtl/>
        </w:rPr>
      </w:pPr>
      <w:r w:rsidRPr="00B70C0E">
        <w:rPr>
          <w:rFonts w:cs="AL-Mohanad Bold" w:hint="cs"/>
          <w:noProof/>
          <w:sz w:val="32"/>
          <w:szCs w:val="32"/>
          <w:rtl/>
        </w:rPr>
        <mc:AlternateContent>
          <mc:Choice Requires="wps">
            <w:drawing>
              <wp:inline distT="0" distB="0" distL="0" distR="0" wp14:anchorId="326E77FD" wp14:editId="52FDF59B">
                <wp:extent cx="6120000" cy="305761"/>
                <wp:effectExtent l="0" t="0" r="14605" b="18415"/>
                <wp:docPr id="7" name="مستطيل 7"/>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9D3A4"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النطاق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326E77FD" id="مستطيل 7" o:spid="_x0000_s1027"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" filled="f" strokecolor="#c00000" strokeweight=".5pt">
                <v:textbox>
                  <w:txbxContent>
                    <w:p w14:paraId="3E59D3A4"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النطاق</w:t>
                      </w:r>
                    </w:p>
                  </w:txbxContent>
                </v:textbox>
                <w10:anchorlock/>
              </v:rect>
            </w:pict>
          </mc:Fallback>
        </mc:AlternateContent>
      </w:r>
    </w:p>
    <w:p w14:paraId="48C2D8BA" w14:textId="77777777" w:rsidR="00B70C0E" w:rsidRPr="00B70C0E" w:rsidRDefault="00B70C0E" w:rsidP="00B70C0E">
      <w:pPr>
        <w:contextualSpacing/>
        <w:jc w:val="lowKashida"/>
        <w:rPr>
          <w:rFonts w:cs="AL-Mohanad Bold"/>
          <w:sz w:val="32"/>
          <w:szCs w:val="32"/>
          <w:rtl/>
        </w:rPr>
      </w:pPr>
      <w:r w:rsidRPr="00B70C0E">
        <w:rPr>
          <w:rFonts w:cs="AL-Mohanad Bold" w:hint="cs"/>
          <w:sz w:val="32"/>
          <w:szCs w:val="32"/>
          <w:rtl/>
        </w:rPr>
        <w:t>تحدد هذه السياسة المسؤوليات العامة على جميع العاملين، ومن لهم علاقات تعاقدية وتطوعية مع الجمعية.</w:t>
      </w:r>
    </w:p>
    <w:p w14:paraId="76013F31" w14:textId="77777777" w:rsidR="00B70C0E" w:rsidRPr="00B70C0E" w:rsidRDefault="00B70C0E" w:rsidP="00B70C0E">
      <w:pPr>
        <w:contextualSpacing/>
        <w:jc w:val="lowKashida"/>
        <w:rPr>
          <w:rFonts w:cs="AL-Mohanad Bold"/>
          <w:sz w:val="32"/>
          <w:szCs w:val="32"/>
          <w:rtl/>
        </w:rPr>
      </w:pPr>
    </w:p>
    <w:p w14:paraId="28E24306" w14:textId="77777777" w:rsidR="00B70C0E" w:rsidRPr="00B70C0E" w:rsidRDefault="00B70C0E" w:rsidP="00B70C0E">
      <w:pPr>
        <w:contextualSpacing/>
        <w:jc w:val="center"/>
        <w:rPr>
          <w:rFonts w:cs="AL-Mohanad Bold"/>
          <w:sz w:val="32"/>
          <w:szCs w:val="32"/>
          <w:rtl/>
        </w:rPr>
      </w:pPr>
      <w:r w:rsidRPr="00B70C0E">
        <w:rPr>
          <w:rFonts w:cs="AL-Mohanad Bold" w:hint="cs"/>
          <w:noProof/>
          <w:sz w:val="32"/>
          <w:szCs w:val="32"/>
          <w:rtl/>
        </w:rPr>
        <mc:AlternateContent>
          <mc:Choice Requires="wps">
            <w:drawing>
              <wp:inline distT="0" distB="0" distL="0" distR="0" wp14:anchorId="73C42D32" wp14:editId="4806DAF6">
                <wp:extent cx="6120000" cy="305761"/>
                <wp:effectExtent l="0" t="0" r="14605" b="18415"/>
                <wp:docPr id="8" name="مستطيل 8"/>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90EE0"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البيان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73C42D32" id="مستطيل 8" o:spid="_x0000_s1028"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HLHJ0rYCAACjBQAA&#10;DgAAAAAAAAAAAAAAAAAuAgAAZHJzL2Uyb0RvYy54bWxQSwECLQAUAAYACAAAACEA2oNUcdsAAAAE&#10;AQAADwAAAAAAAAAAAAAAAAAQBQAAZHJzL2Rvd25yZXYueG1sUEsFBgAAAAAEAAQA8wAAABgGAAAA&#10;AA==&#10;" filled="f" strokecolor="#c00000" strokeweight=".5pt">
                <v:textbox>
                  <w:txbxContent>
                    <w:p w14:paraId="17190EE0"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البيان</w:t>
                      </w:r>
                    </w:p>
                  </w:txbxContent>
                </v:textbox>
                <w10:anchorlock/>
              </v:rect>
            </w:pict>
          </mc:Fallback>
        </mc:AlternateContent>
      </w:r>
    </w:p>
    <w:p w14:paraId="0B31F95A" w14:textId="77777777" w:rsidR="00B70C0E" w:rsidRPr="00B70C0E" w:rsidRDefault="00B70C0E" w:rsidP="00B70C0E">
      <w:pPr>
        <w:pStyle w:val="a6"/>
        <w:numPr>
          <w:ilvl w:val="0"/>
          <w:numId w:val="17"/>
        </w:numPr>
        <w:bidi/>
        <w:spacing w:after="0" w:line="20" w:lineRule="atLeast"/>
        <w:ind w:left="282" w:hanging="296"/>
        <w:jc w:val="lowKashida"/>
        <w:rPr>
          <w:rFonts w:cs="AL-Mohanad Bold"/>
          <w:color w:val="000000" w:themeColor="text1"/>
          <w:sz w:val="32"/>
          <w:szCs w:val="32"/>
          <w:rtl/>
        </w:rPr>
      </w:pPr>
      <w:r w:rsidRPr="00B70C0E">
        <w:rPr>
          <w:rFonts w:cs="AL-Mohanad Bold" w:hint="cs"/>
          <w:color w:val="000000" w:themeColor="text1"/>
          <w:sz w:val="32"/>
          <w:szCs w:val="32"/>
          <w:rtl/>
        </w:rPr>
        <w:t>أولاً: عند تحديد وتقييم وفهم مخاطر غسل الأموال وتمويل الإرهاب، يتم توثيق ذلك كتابيًّا، وتحديث تقييم المخاطر والمعلومات المرتبطة به بشكل دوري، وتوفير تقرير تقييم المخاطر والمعلومات المرتبطة به للجهات الرقابية المختصة عند الطلب.</w:t>
      </w:r>
    </w:p>
    <w:p w14:paraId="17379FB4" w14:textId="77777777" w:rsidR="00B70C0E" w:rsidRPr="00B70C0E" w:rsidRDefault="00B70C0E" w:rsidP="00B70C0E">
      <w:pPr>
        <w:spacing w:line="20" w:lineRule="atLeast"/>
        <w:contextualSpacing/>
        <w:jc w:val="lowKashida"/>
        <w:rPr>
          <w:rFonts w:cs="AL-Mohanad Bold"/>
          <w:color w:val="000000" w:themeColor="text1"/>
          <w:sz w:val="32"/>
          <w:szCs w:val="32"/>
          <w:rtl/>
        </w:rPr>
      </w:pPr>
    </w:p>
    <w:p w14:paraId="4BF68419" w14:textId="77777777" w:rsidR="00B70C0E" w:rsidRPr="00B70C0E" w:rsidRDefault="00B70C0E" w:rsidP="00B70C0E">
      <w:pPr>
        <w:pStyle w:val="a6"/>
        <w:numPr>
          <w:ilvl w:val="0"/>
          <w:numId w:val="17"/>
        </w:numPr>
        <w:bidi/>
        <w:spacing w:after="0" w:line="20" w:lineRule="atLeast"/>
        <w:ind w:left="282" w:hanging="296"/>
        <w:jc w:val="lowKashida"/>
        <w:rPr>
          <w:rFonts w:cs="AL-Mohanad Bold"/>
          <w:color w:val="000000" w:themeColor="text1"/>
          <w:sz w:val="32"/>
          <w:szCs w:val="32"/>
          <w:rtl/>
        </w:rPr>
      </w:pPr>
      <w:r w:rsidRPr="00B70C0E">
        <w:rPr>
          <w:rFonts w:cs="AL-Mohanad Bold" w:hint="cs"/>
          <w:color w:val="000000" w:themeColor="text1"/>
          <w:sz w:val="32"/>
          <w:szCs w:val="32"/>
          <w:rtl/>
        </w:rPr>
        <w:t>ثانيًا: عند تقييم مخاطر غسل الأموال وتمويل الإرهاب، يتم التركيز على العناصر التالية:</w:t>
      </w:r>
    </w:p>
    <w:p w14:paraId="4B368667" w14:textId="77777777" w:rsidR="00B70C0E" w:rsidRPr="00B70C0E" w:rsidRDefault="00B70C0E" w:rsidP="00B70C0E">
      <w:pPr>
        <w:pStyle w:val="a6"/>
        <w:numPr>
          <w:ilvl w:val="0"/>
          <w:numId w:val="15"/>
        </w:numPr>
        <w:bidi/>
        <w:spacing w:after="0" w:line="20" w:lineRule="atLeast"/>
        <w:ind w:left="424" w:hanging="425"/>
        <w:jc w:val="lowKashida"/>
        <w:rPr>
          <w:rFonts w:cs="AL-Mohanad Bold"/>
          <w:color w:val="000000" w:themeColor="text1"/>
          <w:sz w:val="32"/>
          <w:szCs w:val="32"/>
        </w:rPr>
      </w:pPr>
      <w:r w:rsidRPr="00B70C0E">
        <w:rPr>
          <w:rFonts w:cs="AL-Mohanad Bold" w:hint="cs"/>
          <w:color w:val="000000" w:themeColor="text1"/>
          <w:sz w:val="32"/>
          <w:szCs w:val="32"/>
          <w:rtl/>
        </w:rPr>
        <w:t>عوامل المخاطر المرتبطة بالعملاء، والعوامل المرتبطة بالمستفيد الحقيقي أو المستفيد من التعاملات.</w:t>
      </w:r>
    </w:p>
    <w:p w14:paraId="05CEF6A9" w14:textId="77777777" w:rsidR="00B70C0E" w:rsidRPr="00B70C0E" w:rsidRDefault="00B70C0E" w:rsidP="00B70C0E">
      <w:pPr>
        <w:pStyle w:val="a6"/>
        <w:numPr>
          <w:ilvl w:val="0"/>
          <w:numId w:val="15"/>
        </w:numPr>
        <w:bidi/>
        <w:spacing w:after="0" w:line="20" w:lineRule="atLeast"/>
        <w:ind w:left="424" w:hanging="425"/>
        <w:jc w:val="lowKashida"/>
        <w:rPr>
          <w:rFonts w:cs="AL-Mohanad Bold"/>
          <w:color w:val="000000" w:themeColor="text1"/>
          <w:sz w:val="32"/>
          <w:szCs w:val="32"/>
        </w:rPr>
      </w:pPr>
      <w:r w:rsidRPr="00B70C0E">
        <w:rPr>
          <w:rFonts w:cs="AL-Mohanad Bold" w:hint="cs"/>
          <w:color w:val="000000" w:themeColor="text1"/>
          <w:sz w:val="32"/>
          <w:szCs w:val="32"/>
          <w:rtl/>
        </w:rPr>
        <w:t>عوامل المخاطر الناجمة عن البلدان أو المناطق الجغرافية التي يزاول فيها العملاء أعمالهم، أو مصدر العملية، أو مقصدها.</w:t>
      </w:r>
    </w:p>
    <w:p w14:paraId="6FD971AE" w14:textId="77777777" w:rsidR="00B70C0E" w:rsidRPr="00B70C0E" w:rsidRDefault="00B70C0E" w:rsidP="00B70C0E">
      <w:pPr>
        <w:pStyle w:val="a6"/>
        <w:numPr>
          <w:ilvl w:val="0"/>
          <w:numId w:val="15"/>
        </w:numPr>
        <w:bidi/>
        <w:spacing w:after="0" w:line="20" w:lineRule="atLeast"/>
        <w:ind w:left="424" w:hanging="425"/>
        <w:jc w:val="lowKashida"/>
        <w:rPr>
          <w:rFonts w:cs="AL-Mohanad Bold"/>
          <w:color w:val="000000" w:themeColor="text1"/>
          <w:sz w:val="32"/>
          <w:szCs w:val="32"/>
        </w:rPr>
      </w:pPr>
      <w:r w:rsidRPr="00B70C0E">
        <w:rPr>
          <w:rFonts w:cs="AL-Mohanad Bold" w:hint="cs"/>
          <w:color w:val="000000" w:themeColor="text1"/>
          <w:sz w:val="32"/>
          <w:szCs w:val="32"/>
          <w:rtl/>
        </w:rPr>
        <w:t>المخاطر الناجمة عن طبيعة المنتجات أو الخدمات أو العمليات المعروضة، أو قنوات تقديم المنتجات أو الخدمات أو العمليات.</w:t>
      </w:r>
    </w:p>
    <w:p w14:paraId="03EB1A93" w14:textId="77777777" w:rsidR="00B70C0E" w:rsidRPr="00B70C0E" w:rsidRDefault="00B70C0E" w:rsidP="00B70C0E">
      <w:pPr>
        <w:spacing w:line="20" w:lineRule="atLeast"/>
        <w:contextualSpacing/>
        <w:jc w:val="lowKashida"/>
        <w:rPr>
          <w:rFonts w:cs="AL-Mohanad Bold"/>
          <w:color w:val="000000" w:themeColor="text1"/>
          <w:sz w:val="32"/>
          <w:szCs w:val="32"/>
          <w:rtl/>
        </w:rPr>
      </w:pPr>
    </w:p>
    <w:p w14:paraId="6D671E57" w14:textId="77777777" w:rsidR="00B70C0E" w:rsidRPr="00B70C0E" w:rsidRDefault="00B70C0E" w:rsidP="00B70C0E">
      <w:pPr>
        <w:pStyle w:val="a6"/>
        <w:numPr>
          <w:ilvl w:val="0"/>
          <w:numId w:val="17"/>
        </w:numPr>
        <w:bidi/>
        <w:spacing w:after="0" w:line="20" w:lineRule="atLeast"/>
        <w:ind w:left="282" w:hanging="284"/>
        <w:jc w:val="lowKashida"/>
        <w:rPr>
          <w:rFonts w:cs="AL-Mohanad Bold"/>
          <w:color w:val="000000" w:themeColor="text1"/>
          <w:sz w:val="32"/>
          <w:szCs w:val="32"/>
          <w:rtl/>
        </w:rPr>
      </w:pPr>
      <w:r w:rsidRPr="00B70C0E">
        <w:rPr>
          <w:rFonts w:cs="AL-Mohanad Bold" w:hint="cs"/>
          <w:color w:val="000000" w:themeColor="text1"/>
          <w:sz w:val="32"/>
          <w:szCs w:val="32"/>
          <w:rtl/>
        </w:rPr>
        <w:t>ثالثًا: عند القيام بدارسة تقييم المخاطر يتم الأخذ بعين الاعتبار أي مخاطر تم تحديدها على المستوى الوطني، وأي متغيرات قد ترفع من خطر غسل الأموال أو تخفض منه فـي وضع معين، بما فـي ذلك:</w:t>
      </w:r>
    </w:p>
    <w:p w14:paraId="2803DE80" w14:textId="77777777" w:rsidR="00B70C0E" w:rsidRPr="00B70C0E" w:rsidRDefault="00B70C0E" w:rsidP="00B70C0E">
      <w:pPr>
        <w:pStyle w:val="a6"/>
        <w:numPr>
          <w:ilvl w:val="0"/>
          <w:numId w:val="16"/>
        </w:numPr>
        <w:bidi/>
        <w:spacing w:after="0" w:line="20" w:lineRule="atLeast"/>
        <w:ind w:left="424" w:hanging="425"/>
        <w:jc w:val="lowKashida"/>
        <w:rPr>
          <w:rFonts w:cs="AL-Mohanad Bold"/>
          <w:color w:val="000000" w:themeColor="text1"/>
          <w:sz w:val="32"/>
          <w:szCs w:val="32"/>
        </w:rPr>
      </w:pPr>
      <w:r w:rsidRPr="00B70C0E">
        <w:rPr>
          <w:rFonts w:cs="AL-Mohanad Bold" w:hint="cs"/>
          <w:color w:val="000000" w:themeColor="text1"/>
          <w:sz w:val="32"/>
          <w:szCs w:val="32"/>
          <w:rtl/>
        </w:rPr>
        <w:t>الغرض من الحساب أو علاقة العمل.</w:t>
      </w:r>
    </w:p>
    <w:p w14:paraId="377BA7BF" w14:textId="77777777" w:rsidR="00B70C0E" w:rsidRPr="00B70C0E" w:rsidRDefault="00B70C0E" w:rsidP="00B70C0E">
      <w:pPr>
        <w:pStyle w:val="a6"/>
        <w:numPr>
          <w:ilvl w:val="0"/>
          <w:numId w:val="16"/>
        </w:numPr>
        <w:bidi/>
        <w:spacing w:after="0" w:line="20" w:lineRule="atLeast"/>
        <w:ind w:left="424" w:hanging="425"/>
        <w:jc w:val="lowKashida"/>
        <w:rPr>
          <w:rFonts w:cs="AL-Mohanad Bold"/>
          <w:color w:val="000000" w:themeColor="text1"/>
          <w:sz w:val="32"/>
          <w:szCs w:val="32"/>
        </w:rPr>
      </w:pPr>
      <w:r w:rsidRPr="00B70C0E">
        <w:rPr>
          <w:rFonts w:cs="AL-Mohanad Bold" w:hint="cs"/>
          <w:color w:val="000000" w:themeColor="text1"/>
          <w:sz w:val="32"/>
          <w:szCs w:val="32"/>
          <w:rtl/>
        </w:rPr>
        <w:t>حجم الإيداعات أو العمليات التي يقوم بها العميل.</w:t>
      </w:r>
    </w:p>
    <w:p w14:paraId="1DDF1CA9" w14:textId="77777777" w:rsidR="00B70C0E" w:rsidRPr="00B70C0E" w:rsidRDefault="00B70C0E" w:rsidP="00B70C0E">
      <w:pPr>
        <w:pStyle w:val="a6"/>
        <w:numPr>
          <w:ilvl w:val="0"/>
          <w:numId w:val="16"/>
        </w:numPr>
        <w:bidi/>
        <w:spacing w:after="0" w:line="20" w:lineRule="atLeast"/>
        <w:ind w:left="424" w:hanging="425"/>
        <w:jc w:val="lowKashida"/>
        <w:rPr>
          <w:rFonts w:cs="AL-Mohanad Bold"/>
          <w:color w:val="000000" w:themeColor="text1"/>
          <w:sz w:val="32"/>
          <w:szCs w:val="32"/>
        </w:rPr>
      </w:pPr>
      <w:r w:rsidRPr="00B70C0E">
        <w:rPr>
          <w:rFonts w:cs="AL-Mohanad Bold" w:hint="cs"/>
          <w:color w:val="000000" w:themeColor="text1"/>
          <w:sz w:val="32"/>
          <w:szCs w:val="32"/>
          <w:rtl/>
        </w:rPr>
        <w:t>وتيرة العمليات أو مدة علاقة العمل.</w:t>
      </w:r>
    </w:p>
    <w:p w14:paraId="135B43CF" w14:textId="77777777" w:rsidR="00B70C0E" w:rsidRPr="00B70C0E" w:rsidRDefault="00B70C0E" w:rsidP="00B70C0E">
      <w:pPr>
        <w:spacing w:line="20" w:lineRule="atLeast"/>
        <w:contextualSpacing/>
        <w:jc w:val="lowKashida"/>
        <w:rPr>
          <w:rFonts w:cs="AL-Mohanad Bold"/>
          <w:color w:val="000000" w:themeColor="text1"/>
          <w:sz w:val="32"/>
          <w:szCs w:val="32"/>
          <w:rtl/>
        </w:rPr>
      </w:pPr>
    </w:p>
    <w:p w14:paraId="2F450975" w14:textId="77777777" w:rsidR="00B70C0E" w:rsidRPr="00B70C0E" w:rsidRDefault="00B70C0E" w:rsidP="00B70C0E">
      <w:pPr>
        <w:pStyle w:val="a6"/>
        <w:numPr>
          <w:ilvl w:val="0"/>
          <w:numId w:val="17"/>
        </w:numPr>
        <w:bidi/>
        <w:spacing w:after="0" w:line="20" w:lineRule="atLeast"/>
        <w:ind w:left="282" w:hanging="296"/>
        <w:jc w:val="lowKashida"/>
        <w:rPr>
          <w:rFonts w:cs="AL-Mohanad Bold"/>
          <w:color w:val="000000" w:themeColor="text1"/>
          <w:sz w:val="32"/>
          <w:szCs w:val="32"/>
          <w:rtl/>
        </w:rPr>
      </w:pPr>
      <w:r w:rsidRPr="00B70C0E">
        <w:rPr>
          <w:rFonts w:cs="AL-Mohanad Bold" w:hint="cs"/>
          <w:color w:val="000000" w:themeColor="text1"/>
          <w:sz w:val="32"/>
          <w:szCs w:val="32"/>
          <w:rtl/>
        </w:rPr>
        <w:t xml:space="preserve">رابعًا: بناءً على نتائج تقييم المخاطر يتم تطوير وتنفيذ ضوابط وسياسات وإجراءات داخلية لمكافحة </w:t>
      </w:r>
      <w:r w:rsidRPr="00B70C0E">
        <w:rPr>
          <w:rFonts w:cs="AL-Mohanad Bold"/>
          <w:color w:val="000000" w:themeColor="text1"/>
          <w:sz w:val="32"/>
          <w:szCs w:val="32"/>
          <w:rtl/>
        </w:rPr>
        <w:br/>
      </w:r>
      <w:r w:rsidRPr="00B70C0E">
        <w:rPr>
          <w:rFonts w:cs="AL-Mohanad Bold" w:hint="cs"/>
          <w:color w:val="000000" w:themeColor="text1"/>
          <w:sz w:val="32"/>
          <w:szCs w:val="32"/>
          <w:rtl/>
        </w:rPr>
        <w:t xml:space="preserve">غسل الأموال وتمويل الإرهاب، تحدد المستوى والنوع المناسب من التدابير؛ لإدارة تلك المخاطر والحد منها بشكل فعال، بالإضافة إلى مراقبة تنفيذ هذه السياسات والضوابط والإجراءات وتعزيزها، كلما دعت </w:t>
      </w:r>
      <w:r w:rsidRPr="00B70C0E">
        <w:rPr>
          <w:rFonts w:cs="AL-Mohanad Bold"/>
          <w:color w:val="000000" w:themeColor="text1"/>
          <w:sz w:val="32"/>
          <w:szCs w:val="32"/>
          <w:rtl/>
        </w:rPr>
        <w:br/>
      </w:r>
      <w:r w:rsidRPr="00B70C0E">
        <w:rPr>
          <w:rFonts w:cs="AL-Mohanad Bold" w:hint="cs"/>
          <w:color w:val="000000" w:themeColor="text1"/>
          <w:sz w:val="32"/>
          <w:szCs w:val="32"/>
          <w:rtl/>
        </w:rPr>
        <w:t>الحاجة إلى ذلك.</w:t>
      </w:r>
    </w:p>
    <w:p w14:paraId="06889C42" w14:textId="77777777" w:rsidR="00B70C0E" w:rsidRPr="00B70C0E" w:rsidRDefault="00B70C0E" w:rsidP="00B70C0E">
      <w:pPr>
        <w:spacing w:line="20" w:lineRule="atLeast"/>
        <w:contextualSpacing/>
        <w:jc w:val="lowKashida"/>
        <w:rPr>
          <w:rFonts w:cs="AL-Mohanad Bold"/>
          <w:color w:val="000000" w:themeColor="text1"/>
          <w:sz w:val="32"/>
          <w:szCs w:val="32"/>
          <w:rtl/>
        </w:rPr>
      </w:pPr>
    </w:p>
    <w:p w14:paraId="41DF3FC8" w14:textId="77777777" w:rsidR="00B70C0E" w:rsidRPr="00B70C0E" w:rsidRDefault="00B70C0E" w:rsidP="00B70C0E">
      <w:pPr>
        <w:pStyle w:val="a6"/>
        <w:numPr>
          <w:ilvl w:val="0"/>
          <w:numId w:val="17"/>
        </w:numPr>
        <w:bidi/>
        <w:spacing w:after="0" w:line="20" w:lineRule="atLeast"/>
        <w:ind w:left="282" w:hanging="296"/>
        <w:jc w:val="lowKashida"/>
        <w:rPr>
          <w:rFonts w:cs="AL-Mohanad Bold"/>
          <w:color w:val="000000" w:themeColor="text1"/>
          <w:sz w:val="32"/>
          <w:szCs w:val="32"/>
          <w:rtl/>
        </w:rPr>
      </w:pPr>
      <w:r w:rsidRPr="00B70C0E">
        <w:rPr>
          <w:rFonts w:cs="AL-Mohanad Bold" w:hint="cs"/>
          <w:color w:val="000000" w:themeColor="text1"/>
          <w:sz w:val="32"/>
          <w:szCs w:val="32"/>
          <w:rtl/>
        </w:rPr>
        <w:t>خامسًا: عندما تكون المخاطر مرتفعة يتم تنفيذ تدابير معززة للحد من تلك المخاطر، ويجوز تنفيذ تدابير مخففة عندما تكون المخاطر متدنية من إدارة المخاطر والحد منها، ولا يسمح بتطبيق التدابير المخففة فـي حال وجود اشتباه بغسل الأموال وتمويل الإرهاب.</w:t>
      </w:r>
    </w:p>
    <w:p w14:paraId="2C9EB127" w14:textId="77777777" w:rsidR="00B70C0E" w:rsidRPr="00B70C0E" w:rsidRDefault="00B70C0E" w:rsidP="00B70C0E">
      <w:pPr>
        <w:spacing w:line="20" w:lineRule="atLeast"/>
        <w:contextualSpacing/>
        <w:jc w:val="lowKashida"/>
        <w:rPr>
          <w:rFonts w:cs="AL-Mohanad Bold"/>
          <w:color w:val="000000" w:themeColor="text1"/>
          <w:sz w:val="32"/>
          <w:szCs w:val="32"/>
          <w:rtl/>
        </w:rPr>
      </w:pPr>
    </w:p>
    <w:p w14:paraId="5EFEE24F" w14:textId="77777777" w:rsidR="00B70C0E" w:rsidRPr="00B70C0E" w:rsidRDefault="00B70C0E" w:rsidP="00B70C0E">
      <w:pPr>
        <w:pStyle w:val="a6"/>
        <w:numPr>
          <w:ilvl w:val="0"/>
          <w:numId w:val="17"/>
        </w:numPr>
        <w:bidi/>
        <w:spacing w:after="0" w:line="20" w:lineRule="atLeast"/>
        <w:ind w:left="282" w:hanging="296"/>
        <w:jc w:val="lowKashida"/>
        <w:rPr>
          <w:rFonts w:cs="AL-Mohanad Bold"/>
          <w:color w:val="000000" w:themeColor="text1"/>
          <w:sz w:val="32"/>
          <w:szCs w:val="32"/>
          <w:rtl/>
        </w:rPr>
      </w:pPr>
      <w:r w:rsidRPr="00B70C0E">
        <w:rPr>
          <w:rFonts w:cs="AL-Mohanad Bold" w:hint="cs"/>
          <w:color w:val="000000" w:themeColor="text1"/>
          <w:sz w:val="32"/>
          <w:szCs w:val="32"/>
          <w:rtl/>
        </w:rPr>
        <w:t>سادسًا: العمل على تحديد مخاطر غسل الأموال وتمويل الإرهاب التي قد تنشأ عن تطوير منتجات أو ممارسات عمل جديدة، أو الوسائل الجديدة لتقديم الخدمات أو المنتجات أو العمليات، أو تلك التي تنشأ عن استخدام تقنيات جديدة أو قيد التطوير على المنتجات الجديدة، أو القائمة حاليًّا. على أن يتم تقييم المخاطر قبل إطلاق المنتج، أو ممارسات العمل الجديدة، أو قبل استخدام التقنيات الجديدة أو قيد التطوير، واتخاذ التدابير المناسبة لإدارة المخاطر المحددة والحد منها.</w:t>
      </w:r>
    </w:p>
    <w:p w14:paraId="733CD2ED" w14:textId="77777777" w:rsidR="00B70C0E" w:rsidRPr="00B70C0E" w:rsidRDefault="00B70C0E" w:rsidP="00B70C0E">
      <w:pPr>
        <w:contextualSpacing/>
        <w:jc w:val="lowKashida"/>
        <w:rPr>
          <w:rFonts w:cs="AL-Mohanad Bold"/>
          <w:sz w:val="32"/>
          <w:szCs w:val="32"/>
          <w:rtl/>
        </w:rPr>
      </w:pPr>
    </w:p>
    <w:p w14:paraId="7F74D351" w14:textId="77777777" w:rsidR="00B70C0E" w:rsidRPr="00B70C0E" w:rsidRDefault="00B70C0E" w:rsidP="00B70C0E">
      <w:pPr>
        <w:contextualSpacing/>
        <w:jc w:val="center"/>
        <w:rPr>
          <w:rFonts w:cs="AL-Mohanad Bold"/>
          <w:sz w:val="32"/>
          <w:szCs w:val="32"/>
          <w:rtl/>
        </w:rPr>
      </w:pPr>
      <w:r w:rsidRPr="00B70C0E">
        <w:rPr>
          <w:rFonts w:cs="AL-Mohanad Bold" w:hint="cs"/>
          <w:noProof/>
          <w:sz w:val="32"/>
          <w:szCs w:val="32"/>
          <w:rtl/>
        </w:rPr>
        <mc:AlternateContent>
          <mc:Choice Requires="wps">
            <w:drawing>
              <wp:inline distT="0" distB="0" distL="0" distR="0" wp14:anchorId="4A0AFCB0" wp14:editId="228CC64E">
                <wp:extent cx="6120000" cy="305761"/>
                <wp:effectExtent l="0" t="0" r="14605" b="18415"/>
                <wp:docPr id="9" name="مستطيل 9"/>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C681D"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المسؤوليات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A0AFCB0" id="مستطيل 9" o:spid="_x0000_s1029"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8gbOFLYCAACjBQAA&#10;DgAAAAAAAAAAAAAAAAAuAgAAZHJzL2Uyb0RvYy54bWxQSwECLQAUAAYACAAAACEA2oNUcdsAAAAE&#10;AQAADwAAAAAAAAAAAAAAAAAQBQAAZHJzL2Rvd25yZXYueG1sUEsFBgAAAAAEAAQA8wAAABgGAAAA&#10;AA==&#10;" filled="f" strokecolor="#c00000" strokeweight=".5pt">
                <v:textbox>
                  <w:txbxContent>
                    <w:p w14:paraId="375C681D"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المسؤوليات</w:t>
                      </w:r>
                    </w:p>
                  </w:txbxContent>
                </v:textbox>
                <w10:anchorlock/>
              </v:rect>
            </w:pict>
          </mc:Fallback>
        </mc:AlternateContent>
      </w:r>
    </w:p>
    <w:p w14:paraId="3FDBC921" w14:textId="77777777" w:rsidR="00B70C0E" w:rsidRPr="00B70C0E" w:rsidRDefault="00B70C0E" w:rsidP="00B70C0E">
      <w:pPr>
        <w:pStyle w:val="a6"/>
        <w:numPr>
          <w:ilvl w:val="0"/>
          <w:numId w:val="13"/>
        </w:numPr>
        <w:bidi/>
        <w:spacing w:after="0" w:line="240" w:lineRule="auto"/>
        <w:ind w:left="424" w:hanging="425"/>
        <w:jc w:val="lowKashida"/>
        <w:rPr>
          <w:rFonts w:cs="AL-Mohanad Bold"/>
          <w:sz w:val="32"/>
          <w:szCs w:val="32"/>
        </w:rPr>
      </w:pPr>
      <w:r w:rsidRPr="00B70C0E">
        <w:rPr>
          <w:rFonts w:cs="AL-Mohanad Bold" w:hint="cs"/>
          <w:sz w:val="32"/>
          <w:szCs w:val="32"/>
          <w:rtl/>
        </w:rPr>
        <w:t>تطبق هذه السياسة ضمن برامج وأنشطة الجمعية، وفـي جميع تعاملاتها الإدارية والمالية.</w:t>
      </w:r>
    </w:p>
    <w:p w14:paraId="6DBFD6D2" w14:textId="77777777" w:rsidR="00B70C0E" w:rsidRPr="00B70C0E" w:rsidRDefault="00B70C0E" w:rsidP="00B70C0E">
      <w:pPr>
        <w:pStyle w:val="a6"/>
        <w:numPr>
          <w:ilvl w:val="0"/>
          <w:numId w:val="13"/>
        </w:numPr>
        <w:bidi/>
        <w:spacing w:after="0" w:line="240" w:lineRule="auto"/>
        <w:ind w:left="424" w:hanging="425"/>
        <w:jc w:val="lowKashida"/>
        <w:rPr>
          <w:rFonts w:cs="AL-Mohanad Bold"/>
          <w:sz w:val="32"/>
          <w:szCs w:val="32"/>
        </w:rPr>
      </w:pPr>
      <w:r w:rsidRPr="00B70C0E">
        <w:rPr>
          <w:rFonts w:cs="AL-Mohanad Bold" w:hint="cs"/>
          <w:sz w:val="32"/>
          <w:szCs w:val="32"/>
          <w:rtl/>
        </w:rPr>
        <w:t xml:space="preserve">على جميع العاملين الذين يعملون تحت إدارة وإشراف الجمعية الاطلاع على الأنظمة المتعلقة بهذه السياسة، والإلمام بها، والتوقيع عليها، والالتزام بما ورد فيها من أحكام عند أداء واجباتهم ومسؤولياتهم الوظيفية. </w:t>
      </w:r>
    </w:p>
    <w:p w14:paraId="73A11C57" w14:textId="77777777" w:rsidR="00B70C0E" w:rsidRPr="00B70C0E" w:rsidRDefault="00B70C0E" w:rsidP="00B70C0E">
      <w:pPr>
        <w:pStyle w:val="a6"/>
        <w:numPr>
          <w:ilvl w:val="0"/>
          <w:numId w:val="13"/>
        </w:numPr>
        <w:bidi/>
        <w:spacing w:after="0" w:line="240" w:lineRule="auto"/>
        <w:ind w:left="424" w:hanging="425"/>
        <w:jc w:val="lowKashida"/>
        <w:rPr>
          <w:rFonts w:cs="AL-Mohanad Bold"/>
          <w:sz w:val="32"/>
          <w:szCs w:val="32"/>
        </w:rPr>
      </w:pPr>
      <w:r w:rsidRPr="00B70C0E">
        <w:rPr>
          <w:rFonts w:cs="AL-Mohanad Bold" w:hint="cs"/>
          <w:sz w:val="32"/>
          <w:szCs w:val="32"/>
          <w:rtl/>
        </w:rPr>
        <w:t>على الإدارة المالية نشر الوعي فـي ذلك الخصوص، وتزويد جميع الإدارات والأقسام والوحدات بنسخة منها.</w:t>
      </w:r>
    </w:p>
    <w:p w14:paraId="06C91EBC" w14:textId="77777777" w:rsidR="00B70C0E" w:rsidRPr="00B70C0E" w:rsidRDefault="00B70C0E" w:rsidP="00B70C0E">
      <w:pPr>
        <w:pStyle w:val="a6"/>
        <w:numPr>
          <w:ilvl w:val="0"/>
          <w:numId w:val="13"/>
        </w:numPr>
        <w:bidi/>
        <w:spacing w:after="0" w:line="240" w:lineRule="auto"/>
        <w:ind w:left="424" w:hanging="425"/>
        <w:jc w:val="lowKashida"/>
        <w:rPr>
          <w:rFonts w:cs="AL-Mohanad Bold"/>
          <w:sz w:val="32"/>
          <w:szCs w:val="32"/>
          <w:rtl/>
        </w:rPr>
      </w:pPr>
      <w:r w:rsidRPr="00B70C0E">
        <w:rPr>
          <w:rFonts w:cs="AL-Mohanad Bold" w:hint="cs"/>
          <w:sz w:val="32"/>
          <w:szCs w:val="32"/>
          <w:rtl/>
        </w:rPr>
        <w:t>تحرص الجمعية حال التعاقد مع متعاونين على التأكد من اتباعهم والتزامهم بأحكام هذه السياسة.</w:t>
      </w:r>
    </w:p>
    <w:p w14:paraId="6CACBFC7" w14:textId="77777777" w:rsidR="00B70C0E" w:rsidRPr="00B70C0E" w:rsidRDefault="00B70C0E" w:rsidP="00B70C0E">
      <w:pPr>
        <w:contextualSpacing/>
        <w:jc w:val="lowKashida"/>
        <w:rPr>
          <w:rFonts w:cs="AL-Mohanad Bold"/>
          <w:sz w:val="32"/>
          <w:szCs w:val="32"/>
          <w:rtl/>
        </w:rPr>
      </w:pPr>
    </w:p>
    <w:p w14:paraId="3A4618F3" w14:textId="77777777" w:rsidR="00B70C0E" w:rsidRPr="00B70C0E" w:rsidRDefault="00B70C0E" w:rsidP="00B70C0E">
      <w:pPr>
        <w:contextualSpacing/>
        <w:jc w:val="center"/>
        <w:rPr>
          <w:rFonts w:cs="AL-Mohanad Bold"/>
          <w:sz w:val="32"/>
          <w:szCs w:val="32"/>
          <w:rtl/>
        </w:rPr>
      </w:pPr>
      <w:r w:rsidRPr="00B70C0E">
        <w:rPr>
          <w:rFonts w:cs="AL-Mohanad Bold" w:hint="cs"/>
          <w:noProof/>
          <w:sz w:val="32"/>
          <w:szCs w:val="32"/>
          <w:rtl/>
        </w:rPr>
        <mc:AlternateContent>
          <mc:Choice Requires="wps">
            <w:drawing>
              <wp:inline distT="0" distB="0" distL="0" distR="0" wp14:anchorId="0DA05410" wp14:editId="5AC5A65A">
                <wp:extent cx="6120000" cy="305761"/>
                <wp:effectExtent l="0" t="0" r="14605" b="18415"/>
                <wp:docPr id="10" name="مستطيل 10"/>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2F7F9"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النفاذ</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DA05410" id="مستطيل 10" o:spid="_x0000_s1030"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iQgxl7YCAAClBQAA&#10;DgAAAAAAAAAAAAAAAAAuAgAAZHJzL2Uyb0RvYy54bWxQSwECLQAUAAYACAAAACEA2oNUcdsAAAAE&#10;AQAADwAAAAAAAAAAAAAAAAAQBQAAZHJzL2Rvd25yZXYueG1sUEsFBgAAAAAEAAQA8wAAABgGAAAA&#10;AA==&#10;" filled="f" strokecolor="#c00000" strokeweight=".5pt">
                <v:textbox>
                  <w:txbxContent>
                    <w:p w14:paraId="6F12F7F9"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النفاذ</w:t>
                      </w:r>
                    </w:p>
                  </w:txbxContent>
                </v:textbox>
                <w10:anchorlock/>
              </v:rect>
            </w:pict>
          </mc:Fallback>
        </mc:AlternateContent>
      </w:r>
    </w:p>
    <w:p w14:paraId="0498C745" w14:textId="5BF68756" w:rsidR="007D2289" w:rsidRPr="00DD2475" w:rsidRDefault="00B70C0E" w:rsidP="00B70C0E">
      <w:pPr>
        <w:contextualSpacing/>
        <w:jc w:val="lowKashida"/>
        <w:rPr>
          <w:rFonts w:ascii="Traditional Arabic" w:hAnsi="Traditional Arabic" w:cs="Traditional Arabic"/>
          <w:sz w:val="32"/>
          <w:szCs w:val="32"/>
          <w:rtl/>
        </w:rPr>
      </w:pPr>
      <w:r w:rsidRPr="00B70C0E">
        <w:rPr>
          <w:rFonts w:cs="AL-Mohanad Bold" w:hint="cs"/>
          <w:sz w:val="32"/>
          <w:szCs w:val="32"/>
          <w:rtl/>
        </w:rPr>
        <w:t>يتم تنفيذ أحكام هذه السياسة اعتبارًا من تاريخ اعتمادها من قِبَل مجلس الإدارة، وتحل هذه السياسة محل جميع السياسات الموضوعة سابقًا.</w:t>
      </w:r>
    </w:p>
    <w:sectPr w:rsidR="007D2289" w:rsidRPr="00DD2475" w:rsidSect="00DD2475">
      <w:headerReference w:type="default" r:id="rId7"/>
      <w:pgSz w:w="11906" w:h="16838" w:code="9"/>
      <w:pgMar w:top="2694" w:right="566" w:bottom="1276"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A97C" w14:textId="77777777" w:rsidR="00113340" w:rsidRDefault="00113340" w:rsidP="000F2E9F">
      <w:r>
        <w:separator/>
      </w:r>
    </w:p>
  </w:endnote>
  <w:endnote w:type="continuationSeparator" w:id="0">
    <w:p w14:paraId="65819B23" w14:textId="77777777" w:rsidR="00113340" w:rsidRDefault="00113340"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Bold">
    <w:altName w:val="Arial"/>
    <w:panose1 w:val="000000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Frutiger LT Arabic 45 Light">
    <w:panose1 w:val="01000000000000000000"/>
    <w:charset w:val="00"/>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A9DC" w14:textId="77777777" w:rsidR="00113340" w:rsidRDefault="00113340" w:rsidP="000F2E9F">
      <w:r>
        <w:separator/>
      </w:r>
    </w:p>
  </w:footnote>
  <w:footnote w:type="continuationSeparator" w:id="0">
    <w:p w14:paraId="3A913BB6" w14:textId="77777777" w:rsidR="00113340" w:rsidRDefault="00113340"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197"/>
    <w:multiLevelType w:val="hybridMultilevel"/>
    <w:tmpl w:val="63F29650"/>
    <w:lvl w:ilvl="0" w:tplc="54AA6F26">
      <w:numFmt w:val="bullet"/>
      <w:lvlText w:val=""/>
      <w:lvlJc w:val="left"/>
      <w:pPr>
        <w:ind w:left="720" w:hanging="360"/>
      </w:pPr>
      <w:rPr>
        <w:rFonts w:ascii="Symbol" w:eastAsiaTheme="minorHAns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975C8"/>
    <w:multiLevelType w:val="hybridMultilevel"/>
    <w:tmpl w:val="3118F3D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33D11300"/>
    <w:multiLevelType w:val="hybridMultilevel"/>
    <w:tmpl w:val="813687F0"/>
    <w:lvl w:ilvl="0" w:tplc="763A001E">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B3F8A"/>
    <w:multiLevelType w:val="hybridMultilevel"/>
    <w:tmpl w:val="90707CC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3BB124B3"/>
    <w:multiLevelType w:val="hybridMultilevel"/>
    <w:tmpl w:val="553A249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3FAE3AEC"/>
    <w:multiLevelType w:val="hybridMultilevel"/>
    <w:tmpl w:val="75300CB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41911B4D"/>
    <w:multiLevelType w:val="hybridMultilevel"/>
    <w:tmpl w:val="0526C316"/>
    <w:lvl w:ilvl="0" w:tplc="C1EC133E">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F61BF"/>
    <w:multiLevelType w:val="hybridMultilevel"/>
    <w:tmpl w:val="5342848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4E444EC8"/>
    <w:multiLevelType w:val="hybridMultilevel"/>
    <w:tmpl w:val="0780042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15:restartNumberingAfterBreak="0">
    <w:nsid w:val="4E6363F8"/>
    <w:multiLevelType w:val="hybridMultilevel"/>
    <w:tmpl w:val="FEFE1308"/>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5A4731F4"/>
    <w:multiLevelType w:val="hybridMultilevel"/>
    <w:tmpl w:val="26A83EC8"/>
    <w:lvl w:ilvl="0" w:tplc="143203F0">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75797"/>
    <w:multiLevelType w:val="hybridMultilevel"/>
    <w:tmpl w:val="1C32155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15:restartNumberingAfterBreak="0">
    <w:nsid w:val="5E971D08"/>
    <w:multiLevelType w:val="hybridMultilevel"/>
    <w:tmpl w:val="C18EF272"/>
    <w:lvl w:ilvl="0" w:tplc="104C705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14" w15:restartNumberingAfterBreak="0">
    <w:nsid w:val="6602375D"/>
    <w:multiLevelType w:val="hybridMultilevel"/>
    <w:tmpl w:val="510EF31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15:restartNumberingAfterBreak="0">
    <w:nsid w:val="67B67B21"/>
    <w:multiLevelType w:val="hybridMultilevel"/>
    <w:tmpl w:val="D9C889F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15:restartNumberingAfterBreak="0">
    <w:nsid w:val="78B517FD"/>
    <w:multiLevelType w:val="hybridMultilevel"/>
    <w:tmpl w:val="14FC583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13"/>
  </w:num>
  <w:num w:numId="2">
    <w:abstractNumId w:val="7"/>
  </w:num>
  <w:num w:numId="3">
    <w:abstractNumId w:val="9"/>
  </w:num>
  <w:num w:numId="4">
    <w:abstractNumId w:val="16"/>
  </w:num>
  <w:num w:numId="5">
    <w:abstractNumId w:val="11"/>
  </w:num>
  <w:num w:numId="6">
    <w:abstractNumId w:val="8"/>
  </w:num>
  <w:num w:numId="7">
    <w:abstractNumId w:val="3"/>
  </w:num>
  <w:num w:numId="8">
    <w:abstractNumId w:val="5"/>
  </w:num>
  <w:num w:numId="9">
    <w:abstractNumId w:val="14"/>
  </w:num>
  <w:num w:numId="10">
    <w:abstractNumId w:val="15"/>
  </w:num>
  <w:num w:numId="11">
    <w:abstractNumId w:val="1"/>
  </w:num>
  <w:num w:numId="12">
    <w:abstractNumId w:val="4"/>
  </w:num>
  <w:num w:numId="13">
    <w:abstractNumId w:val="12"/>
  </w:num>
  <w:num w:numId="14">
    <w:abstractNumId w:val="6"/>
  </w:num>
  <w:num w:numId="15">
    <w:abstractNumId w:val="2"/>
  </w:num>
  <w:num w:numId="16">
    <w:abstractNumId w:val="10"/>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F2E9F"/>
    <w:rsid w:val="00113340"/>
    <w:rsid w:val="00167CCA"/>
    <w:rsid w:val="001E2A78"/>
    <w:rsid w:val="001E6971"/>
    <w:rsid w:val="00221535"/>
    <w:rsid w:val="002961A8"/>
    <w:rsid w:val="003A6B2B"/>
    <w:rsid w:val="003D418E"/>
    <w:rsid w:val="003E0527"/>
    <w:rsid w:val="00421AB6"/>
    <w:rsid w:val="004434EF"/>
    <w:rsid w:val="004D3AA5"/>
    <w:rsid w:val="004E377F"/>
    <w:rsid w:val="0052024C"/>
    <w:rsid w:val="005333CF"/>
    <w:rsid w:val="005E3DBE"/>
    <w:rsid w:val="005E574B"/>
    <w:rsid w:val="00632494"/>
    <w:rsid w:val="0075769B"/>
    <w:rsid w:val="007D2289"/>
    <w:rsid w:val="008751CD"/>
    <w:rsid w:val="0089456B"/>
    <w:rsid w:val="00912B4B"/>
    <w:rsid w:val="009445EA"/>
    <w:rsid w:val="009653F7"/>
    <w:rsid w:val="009B2CAB"/>
    <w:rsid w:val="00A55DDC"/>
    <w:rsid w:val="00AA48BC"/>
    <w:rsid w:val="00B1062A"/>
    <w:rsid w:val="00B22D69"/>
    <w:rsid w:val="00B70C0E"/>
    <w:rsid w:val="00B70C13"/>
    <w:rsid w:val="00B87592"/>
    <w:rsid w:val="00BB5109"/>
    <w:rsid w:val="00BF4ACF"/>
    <w:rsid w:val="00C85840"/>
    <w:rsid w:val="00CE7D77"/>
    <w:rsid w:val="00D14703"/>
    <w:rsid w:val="00D20378"/>
    <w:rsid w:val="00D2289D"/>
    <w:rsid w:val="00D61FF7"/>
    <w:rsid w:val="00DD2475"/>
    <w:rsid w:val="00E053FC"/>
    <w:rsid w:val="00E14B72"/>
    <w:rsid w:val="00E4331A"/>
    <w:rsid w:val="00EA0989"/>
    <w:rsid w:val="00EF2122"/>
    <w:rsid w:val="00EF73D0"/>
    <w:rsid w:val="00F52465"/>
    <w:rsid w:val="00F66E05"/>
    <w:rsid w:val="00F861CB"/>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character" w:styleId="Hyperlink">
    <w:name w:val="Hyperlink"/>
    <w:basedOn w:val="a0"/>
    <w:uiPriority w:val="99"/>
    <w:unhideWhenUsed/>
    <w:rsid w:val="00AA48BC"/>
    <w:rPr>
      <w:color w:val="0563C1" w:themeColor="hyperlink"/>
      <w:u w:val="single"/>
    </w:rPr>
  </w:style>
  <w:style w:type="character" w:styleId="ad">
    <w:name w:val="Unresolved Mention"/>
    <w:basedOn w:val="a0"/>
    <w:uiPriority w:val="99"/>
    <w:semiHidden/>
    <w:unhideWhenUsed/>
    <w:rsid w:val="00AA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502</Words>
  <Characters>2868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4</cp:revision>
  <cp:lastPrinted>2021-06-07T14:18:00Z</cp:lastPrinted>
  <dcterms:created xsi:type="dcterms:W3CDTF">2021-08-19T14:38:00Z</dcterms:created>
  <dcterms:modified xsi:type="dcterms:W3CDTF">2021-08-19T14:43:00Z</dcterms:modified>
</cp:coreProperties>
</file>